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62839AF9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  <w:t xml:space="preserve">Elektroradiologia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elektroradiologii </w:t>
      </w:r>
      <w:r w:rsidR="00CC6818" w:rsidRPr="00CC6818">
        <w:rPr>
          <w:rFonts w:ascii="Arial" w:hAnsi="Arial" w:cs="Arial"/>
          <w:b/>
          <w:i/>
        </w:rPr>
        <w:t>(Szpital św. Rodziny)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CC681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5822EF4E" w:rsidR="00294866" w:rsidRPr="00922C4F" w:rsidRDefault="009A3324" w:rsidP="00CC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C6818">
              <w:rPr>
                <w:rFonts w:ascii="Arial" w:hAnsi="Arial" w:cs="Arial"/>
                <w:sz w:val="18"/>
                <w:szCs w:val="18"/>
              </w:rPr>
              <w:t>0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Default="00576075" w:rsidP="00576075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1F5656EE" w14:textId="77777777" w:rsidR="00CC6818" w:rsidRPr="00197E63" w:rsidRDefault="00CC6818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bookmarkStart w:id="1" w:name="_GoBack"/>
      <w:bookmarkEnd w:id="1"/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6E61D0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38AB3B5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C1114E3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65B017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C54D4A6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D6EE601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6818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4799-BEDE-45A7-9DB8-9D32AAD9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21</cp:revision>
  <cp:lastPrinted>2018-12-04T10:42:00Z</cp:lastPrinted>
  <dcterms:created xsi:type="dcterms:W3CDTF">2018-12-11T12:33:00Z</dcterms:created>
  <dcterms:modified xsi:type="dcterms:W3CDTF">2021-08-10T12:13:00Z</dcterms:modified>
</cp:coreProperties>
</file>